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48" w:rsidRDefault="00250F48" w:rsidP="00851756">
      <w:pPr>
        <w:jc w:val="center"/>
        <w:rPr>
          <w:color w:val="373737"/>
          <w:sz w:val="23"/>
          <w:szCs w:val="23"/>
          <w:shd w:val="clear" w:color="auto" w:fill="FFFFFF"/>
        </w:rPr>
      </w:pPr>
      <w:r>
        <w:rPr>
          <w:color w:val="373737"/>
          <w:sz w:val="23"/>
          <w:szCs w:val="23"/>
          <w:shd w:val="clear" w:color="auto" w:fill="FFFFFF"/>
        </w:rPr>
        <w:t xml:space="preserve">Il Consiglio di Istituto </w:t>
      </w:r>
      <w:r w:rsidR="00851756">
        <w:rPr>
          <w:color w:val="373737"/>
          <w:sz w:val="23"/>
          <w:szCs w:val="23"/>
          <w:shd w:val="clear" w:color="auto" w:fill="FFFFFF"/>
        </w:rPr>
        <w:t>dopo la Riforma della Buona Scuola</w:t>
      </w:r>
    </w:p>
    <w:p w:rsidR="00F46F3B" w:rsidRDefault="00BF7377">
      <w:pPr>
        <w:rPr>
          <w:color w:val="373737"/>
          <w:sz w:val="23"/>
          <w:szCs w:val="23"/>
          <w:shd w:val="clear" w:color="auto" w:fill="FFFFFF"/>
        </w:rPr>
      </w:pPr>
      <w:r>
        <w:rPr>
          <w:color w:val="373737"/>
          <w:sz w:val="23"/>
          <w:szCs w:val="23"/>
          <w:shd w:val="clear" w:color="auto" w:fill="FFFFFF"/>
        </w:rPr>
        <w:t>Al momento il ruolo degli organi collegiali della scuola non ha subito nessun effetto ghigliottina ad opera della legge 107 se non alcune modifiche nella definizione del Piano triennale dell’offerta formativa e nella costituzione del comitato per la valutazione dei docenti cui la legge assegna una nuova funzione di concorrenza nella definizione dei criteri per la valorizzazione del merito.</w:t>
      </w:r>
    </w:p>
    <w:p w:rsidR="00BF7377" w:rsidRDefault="00BF7377" w:rsidP="00BF7377">
      <w:pPr>
        <w:pStyle w:val="NormaleWeb"/>
        <w:shd w:val="clear" w:color="auto" w:fill="FFFFFF"/>
        <w:spacing w:before="0" w:beforeAutospacing="0" w:after="0" w:afterAutospacing="0" w:line="366" w:lineRule="atLeast"/>
        <w:textAlignment w:val="baseline"/>
        <w:rPr>
          <w:color w:val="373737"/>
          <w:sz w:val="23"/>
          <w:szCs w:val="23"/>
        </w:rPr>
      </w:pPr>
      <w:r>
        <w:rPr>
          <w:rStyle w:val="Enfasigrassetto"/>
          <w:rFonts w:ascii="inherit" w:hAnsi="inherit"/>
          <w:i/>
          <w:iCs/>
          <w:color w:val="373737"/>
          <w:sz w:val="23"/>
          <w:szCs w:val="23"/>
          <w:bdr w:val="none" w:sz="0" w:space="0" w:color="auto" w:frame="1"/>
        </w:rPr>
        <w:t>Nuovo ruolo assegnato agli organi collegiali nella definizione del PTOF</w:t>
      </w:r>
    </w:p>
    <w:p w:rsidR="00BF7377" w:rsidRDefault="00BF7377" w:rsidP="00BF7377">
      <w:pPr>
        <w:pStyle w:val="NormaleWeb"/>
        <w:shd w:val="clear" w:color="auto" w:fill="FFFFFF"/>
        <w:spacing w:before="0" w:beforeAutospacing="0" w:after="0" w:afterAutospacing="0" w:line="366" w:lineRule="atLeast"/>
        <w:textAlignment w:val="baseline"/>
        <w:rPr>
          <w:color w:val="373737"/>
          <w:sz w:val="23"/>
          <w:szCs w:val="23"/>
        </w:rPr>
      </w:pPr>
      <w:r>
        <w:rPr>
          <w:color w:val="373737"/>
          <w:sz w:val="23"/>
          <w:szCs w:val="23"/>
        </w:rPr>
        <w:t>Punto cruciale della mutata funzione degli organi collegiali si coglie precisamente nell’elaborazione del</w:t>
      </w:r>
      <w:r>
        <w:rPr>
          <w:rStyle w:val="apple-converted-space"/>
          <w:color w:val="373737"/>
          <w:sz w:val="23"/>
          <w:szCs w:val="23"/>
        </w:rPr>
        <w:t> </w:t>
      </w:r>
      <w:r>
        <w:rPr>
          <w:rStyle w:val="Enfasigrassetto"/>
          <w:rFonts w:ascii="inherit" w:hAnsi="inherit"/>
          <w:color w:val="373737"/>
          <w:sz w:val="23"/>
          <w:szCs w:val="23"/>
          <w:bdr w:val="none" w:sz="0" w:space="0" w:color="auto" w:frame="1"/>
        </w:rPr>
        <w:t>Piano triennale dell’offerta formativa (PTOF).</w:t>
      </w:r>
      <w:r>
        <w:rPr>
          <w:rStyle w:val="apple-converted-space"/>
          <w:rFonts w:ascii="inherit" w:hAnsi="inherit"/>
          <w:b/>
          <w:bCs/>
          <w:color w:val="373737"/>
          <w:sz w:val="23"/>
          <w:szCs w:val="23"/>
          <w:bdr w:val="none" w:sz="0" w:space="0" w:color="auto" w:frame="1"/>
        </w:rPr>
        <w:t> </w:t>
      </w:r>
      <w:r>
        <w:rPr>
          <w:color w:val="373737"/>
          <w:sz w:val="23"/>
          <w:szCs w:val="23"/>
        </w:rPr>
        <w:t>La legge 107 introduce che :</w:t>
      </w:r>
      <w:r>
        <w:rPr>
          <w:rStyle w:val="Enfasicorsivo"/>
          <w:rFonts w:ascii="inherit" w:hAnsi="inherit"/>
          <w:color w:val="373737"/>
          <w:sz w:val="23"/>
          <w:szCs w:val="23"/>
          <w:bdr w:val="none" w:sz="0" w:space="0" w:color="auto" w:frame="1"/>
        </w:rPr>
        <w:t>“ogni istituzione scolastica predispone, con la partecipazione di tutte le sue componenti, il piano triennale dell'offerta formativa”(comma 1, art.3).</w:t>
      </w:r>
    </w:p>
    <w:p w:rsidR="000E0976" w:rsidRDefault="00BF7377" w:rsidP="00BF7377">
      <w:pPr>
        <w:pStyle w:val="NormaleWeb"/>
        <w:shd w:val="clear" w:color="auto" w:fill="FFFFFF"/>
        <w:spacing w:before="0" w:beforeAutospacing="0" w:after="0" w:afterAutospacing="0" w:line="366" w:lineRule="atLeast"/>
        <w:textAlignment w:val="baseline"/>
        <w:rPr>
          <w:rStyle w:val="Enfasicorsivo"/>
          <w:color w:val="373737"/>
          <w:sz w:val="23"/>
          <w:szCs w:val="23"/>
          <w:bdr w:val="none" w:sz="0" w:space="0" w:color="auto" w:frame="1"/>
          <w:shd w:val="clear" w:color="auto" w:fill="FFFFFF"/>
        </w:rPr>
      </w:pPr>
      <w:r>
        <w:rPr>
          <w:color w:val="373737"/>
          <w:sz w:val="23"/>
          <w:szCs w:val="23"/>
          <w:shd w:val="clear" w:color="auto" w:fill="FFFFFF"/>
        </w:rPr>
        <w:t>il comma 14 regola chi sono gli attori che concorrono alla determinazione del Piano: “i</w:t>
      </w:r>
      <w:r>
        <w:rPr>
          <w:rStyle w:val="Enfasicorsivo"/>
          <w:color w:val="373737"/>
          <w:sz w:val="23"/>
          <w:szCs w:val="23"/>
          <w:bdr w:val="none" w:sz="0" w:space="0" w:color="auto" w:frame="1"/>
          <w:shd w:val="clear" w:color="auto" w:fill="FFFFFF"/>
        </w:rPr>
        <w:t>l piano è elaborato dal collegio dei docenti sulla base degli indirizzi per le attività della scuola e delle scelte di gestione e di amministrazione definiti dal dirigente scolastico. Il piano è approvato dal consiglio d'istit</w:t>
      </w:r>
      <w:r w:rsidR="00264168">
        <w:rPr>
          <w:rStyle w:val="Enfasicorsivo"/>
          <w:color w:val="373737"/>
          <w:sz w:val="23"/>
          <w:szCs w:val="23"/>
          <w:bdr w:val="none" w:sz="0" w:space="0" w:color="auto" w:frame="1"/>
          <w:shd w:val="clear" w:color="auto" w:fill="FFFFFF"/>
        </w:rPr>
        <w:t xml:space="preserve">uto. </w:t>
      </w:r>
    </w:p>
    <w:p w:rsidR="00BF7377" w:rsidRDefault="00BF7377" w:rsidP="00BF7377">
      <w:pPr>
        <w:pStyle w:val="NormaleWeb"/>
        <w:shd w:val="clear" w:color="auto" w:fill="FFFFFF"/>
        <w:spacing w:before="0" w:beforeAutospacing="0" w:after="0" w:afterAutospacing="0" w:line="366" w:lineRule="atLeast"/>
        <w:textAlignment w:val="baseline"/>
        <w:rPr>
          <w:color w:val="373737"/>
          <w:sz w:val="23"/>
          <w:szCs w:val="23"/>
        </w:rPr>
      </w:pPr>
      <w:r>
        <w:rPr>
          <w:rStyle w:val="Enfasigrassetto"/>
          <w:rFonts w:ascii="inherit" w:hAnsi="inherit"/>
          <w:i/>
          <w:iCs/>
          <w:color w:val="373737"/>
          <w:sz w:val="23"/>
          <w:szCs w:val="23"/>
          <w:bdr w:val="none" w:sz="0" w:space="0" w:color="auto" w:frame="1"/>
        </w:rPr>
        <w:t>Nuovo assetto del Comitato per la valutazione dei docenti, comma 129 della legge 107</w:t>
      </w:r>
    </w:p>
    <w:p w:rsidR="00BF7377" w:rsidRDefault="00BF7377" w:rsidP="00BF7377">
      <w:pPr>
        <w:pStyle w:val="NormaleWeb"/>
        <w:shd w:val="clear" w:color="auto" w:fill="FFFFFF"/>
        <w:spacing w:before="0" w:beforeAutospacing="0" w:after="240" w:afterAutospacing="0" w:line="366" w:lineRule="atLeast"/>
        <w:textAlignment w:val="baseline"/>
        <w:rPr>
          <w:color w:val="373737"/>
          <w:sz w:val="23"/>
          <w:szCs w:val="23"/>
        </w:rPr>
      </w:pPr>
      <w:r>
        <w:rPr>
          <w:color w:val="373737"/>
          <w:sz w:val="23"/>
          <w:szCs w:val="23"/>
        </w:rPr>
        <w:t>Rispetto al collegio dei docenti e al consiglio di istituto, nel comitato per la valutazione si assiste invece ad un nuovo assetto nella costituzione formale dell’organo che si vede anche attribuito un ruolo nella definizione dei criteri, ai fini della valorizzazione del merito; il comitato li individua esaurendo lì la sua funzione di garante.</w:t>
      </w:r>
    </w:p>
    <w:p w:rsidR="00BF7377" w:rsidRDefault="00BF7377" w:rsidP="00BF7377">
      <w:pPr>
        <w:pStyle w:val="NormaleWeb"/>
        <w:shd w:val="clear" w:color="auto" w:fill="FFFFFF"/>
        <w:spacing w:before="0" w:beforeAutospacing="0" w:after="240" w:afterAutospacing="0" w:line="366" w:lineRule="atLeast"/>
        <w:textAlignment w:val="baseline"/>
        <w:rPr>
          <w:color w:val="373737"/>
          <w:sz w:val="23"/>
          <w:szCs w:val="23"/>
        </w:rPr>
      </w:pPr>
      <w:r>
        <w:rPr>
          <w:color w:val="373737"/>
          <w:sz w:val="23"/>
          <w:szCs w:val="23"/>
        </w:rPr>
        <w:t xml:space="preserve">L’art.11 del </w:t>
      </w:r>
      <w:proofErr w:type="spellStart"/>
      <w:r>
        <w:rPr>
          <w:color w:val="373737"/>
          <w:sz w:val="23"/>
          <w:szCs w:val="23"/>
        </w:rPr>
        <w:t>D.Lgs.</w:t>
      </w:r>
      <w:proofErr w:type="spellEnd"/>
      <w:r>
        <w:rPr>
          <w:color w:val="373737"/>
          <w:sz w:val="23"/>
          <w:szCs w:val="23"/>
        </w:rPr>
        <w:t xml:space="preserve"> 297 del 1994, novellato dal comma 129 della legge 107, vede l’entrata nel comitato di nuove figure provenienti non esclusivamente dal collegio dei docenti ma da altre componenti della comunità scolastica. L’organo, oltre ai due membri individuati nel collegio dei docenti, si arricchisce di un membro del consiglio di istituto, di due rappresentanti dei genitori, per la scuola dell’infanzia e per il primo ciclo di istruzione, un rappresentante degli studenti e un rappresentante dei genitori, per il secondo ciclo di istruzione, scelti dal consiglio di istituto; infine da un componente esterno individuato dall'ufficio scolastico regionale tra docenti, dirigenti scolastici e dirigenti tecnici.</w:t>
      </w:r>
    </w:p>
    <w:p w:rsidR="00BF7377" w:rsidRDefault="00BF7377" w:rsidP="00BF7377">
      <w:pPr>
        <w:pStyle w:val="NormaleWeb"/>
        <w:shd w:val="clear" w:color="auto" w:fill="FFFFFF"/>
        <w:spacing w:before="0" w:beforeAutospacing="0" w:after="240" w:afterAutospacing="0" w:line="366" w:lineRule="atLeast"/>
        <w:textAlignment w:val="baseline"/>
        <w:rPr>
          <w:color w:val="373737"/>
          <w:sz w:val="23"/>
          <w:szCs w:val="23"/>
        </w:rPr>
      </w:pPr>
      <w:r>
        <w:rPr>
          <w:color w:val="373737"/>
          <w:sz w:val="23"/>
          <w:szCs w:val="23"/>
        </w:rPr>
        <w:t>Come già anticipato, ai membri del comitato spetta adesso l’onere di individuare i criteri per la valorizzazione dei docenti sulla base di determinate indicazioni fornite nello stesso art.11. Si tratta però di un ambito d’azione ridotto poiché l’organo è coinvolto solo nella fase decisoria della definizione dei criteri, attribuendo il legislatore al solo dirigente scolastico, la primazia di assegnare annualmente al personale docente un bonus per la valorizzazione del merito (comma 127).</w:t>
      </w:r>
    </w:p>
    <w:p w:rsidR="00BF7377" w:rsidRDefault="00BF7377" w:rsidP="00BF7377">
      <w:pPr>
        <w:pStyle w:val="NormaleWeb"/>
        <w:shd w:val="clear" w:color="auto" w:fill="FFFFFF"/>
        <w:spacing w:before="0" w:beforeAutospacing="0" w:after="0" w:afterAutospacing="0" w:line="366" w:lineRule="atLeast"/>
        <w:textAlignment w:val="baseline"/>
        <w:rPr>
          <w:color w:val="373737"/>
          <w:sz w:val="23"/>
          <w:szCs w:val="23"/>
        </w:rPr>
      </w:pPr>
      <w:r>
        <w:rPr>
          <w:color w:val="373737"/>
          <w:sz w:val="23"/>
          <w:szCs w:val="23"/>
        </w:rPr>
        <w:t>Nella nuova regia del comitato, ai fini del</w:t>
      </w:r>
      <w:r>
        <w:rPr>
          <w:rStyle w:val="apple-converted-space"/>
          <w:color w:val="373737"/>
          <w:sz w:val="23"/>
          <w:szCs w:val="23"/>
        </w:rPr>
        <w:t> </w:t>
      </w:r>
      <w:r w:rsidRPr="00885356">
        <w:rPr>
          <w:rStyle w:val="Enfasigrassetto"/>
          <w:rFonts w:ascii="inherit" w:hAnsi="inherit"/>
          <w:b w:val="0"/>
          <w:color w:val="373737"/>
          <w:sz w:val="23"/>
          <w:szCs w:val="23"/>
          <w:bdr w:val="none" w:sz="0" w:space="0" w:color="auto" w:frame="1"/>
        </w:rPr>
        <w:t>superamento del periodo di formazione e di prova</w:t>
      </w:r>
      <w:r>
        <w:rPr>
          <w:color w:val="373737"/>
          <w:sz w:val="23"/>
          <w:szCs w:val="23"/>
        </w:rPr>
        <w:t xml:space="preserve">, per il </w:t>
      </w:r>
      <w:bookmarkStart w:id="0" w:name="_GoBack"/>
      <w:bookmarkEnd w:id="0"/>
      <w:r>
        <w:rPr>
          <w:color w:val="373737"/>
          <w:sz w:val="23"/>
          <w:szCs w:val="23"/>
        </w:rPr>
        <w:t>personale docente ed educativo, l’organo collegiale è chiamato ad esprimere il proprio parere con una componente ridotta ossia senza genitori e studenti, ma con la presenza del dirigente scolastico, che lo presiede e con la rappresentanza dei docenti e l’integrazione del docente cui sono affidate le funzioni di tutor; la valutazione è di competenza del dirigente scolastico, ma lo stesso è tenuto a sentire il comitato.</w:t>
      </w:r>
    </w:p>
    <w:p w:rsidR="00BF7377" w:rsidRDefault="00BF7377" w:rsidP="00BF7377">
      <w:pPr>
        <w:pStyle w:val="NormaleWeb"/>
        <w:shd w:val="clear" w:color="auto" w:fill="FFFFFF"/>
        <w:spacing w:before="0" w:beforeAutospacing="0" w:after="240" w:afterAutospacing="0" w:line="366" w:lineRule="atLeast"/>
        <w:textAlignment w:val="baseline"/>
        <w:rPr>
          <w:color w:val="373737"/>
          <w:sz w:val="23"/>
          <w:szCs w:val="23"/>
        </w:rPr>
      </w:pPr>
      <w:r>
        <w:rPr>
          <w:color w:val="373737"/>
          <w:sz w:val="23"/>
          <w:szCs w:val="23"/>
        </w:rPr>
        <w:lastRenderedPageBreak/>
        <w:t xml:space="preserve">Al contrario il comitato opera con la presenza di tutte le componenti per la valutazione del servizio di cui all’art.448 del </w:t>
      </w:r>
      <w:proofErr w:type="spellStart"/>
      <w:r>
        <w:rPr>
          <w:color w:val="373737"/>
          <w:sz w:val="23"/>
          <w:szCs w:val="23"/>
        </w:rPr>
        <w:t>D.Lgs.</w:t>
      </w:r>
      <w:proofErr w:type="spellEnd"/>
      <w:r>
        <w:rPr>
          <w:color w:val="373737"/>
          <w:sz w:val="23"/>
          <w:szCs w:val="23"/>
        </w:rPr>
        <w:t xml:space="preserve"> 297 del 1994, previa relazione del dirigente scolastico; nel caso di valutazione del servizio di un docente componente del comitato, ai lavori non partecipa l'interessato e il consiglio di istituto provvede all'individuazione di un sostituto. Il comitato esercita altresì le competenze per la riabilitazione del personale docente, di cui all'articolo 501 del decreto di cui sopra.</w:t>
      </w:r>
    </w:p>
    <w:p w:rsidR="00BF7377" w:rsidRDefault="00BF7377">
      <w:pPr>
        <w:rPr>
          <w:rStyle w:val="Enfasicorsivo"/>
          <w:color w:val="373737"/>
          <w:sz w:val="23"/>
          <w:szCs w:val="23"/>
          <w:bdr w:val="none" w:sz="0" w:space="0" w:color="auto" w:frame="1"/>
          <w:shd w:val="clear" w:color="auto" w:fill="FFFFFF"/>
        </w:rPr>
      </w:pPr>
      <w:r>
        <w:rPr>
          <w:rStyle w:val="Enfasicorsivo"/>
          <w:color w:val="373737"/>
          <w:sz w:val="23"/>
          <w:szCs w:val="23"/>
          <w:bdr w:val="none" w:sz="0" w:space="0" w:color="auto" w:frame="1"/>
          <w:shd w:val="clear" w:color="auto" w:fill="FFFFFF"/>
        </w:rPr>
        <w:t>.</w:t>
      </w:r>
    </w:p>
    <w:p w:rsidR="00BF7377" w:rsidRDefault="00BF7377"/>
    <w:sectPr w:rsidR="00BF73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77"/>
    <w:rsid w:val="000E0976"/>
    <w:rsid w:val="00250F48"/>
    <w:rsid w:val="00264168"/>
    <w:rsid w:val="00851756"/>
    <w:rsid w:val="00885356"/>
    <w:rsid w:val="00BF7377"/>
    <w:rsid w:val="00F46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F73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F7377"/>
    <w:rPr>
      <w:i/>
      <w:iCs/>
    </w:rPr>
  </w:style>
  <w:style w:type="character" w:styleId="Enfasigrassetto">
    <w:name w:val="Strong"/>
    <w:basedOn w:val="Carpredefinitoparagrafo"/>
    <w:uiPriority w:val="22"/>
    <w:qFormat/>
    <w:rsid w:val="00BF7377"/>
    <w:rPr>
      <w:b/>
      <w:bCs/>
    </w:rPr>
  </w:style>
  <w:style w:type="character" w:customStyle="1" w:styleId="apple-converted-space">
    <w:name w:val="apple-converted-space"/>
    <w:basedOn w:val="Carpredefinitoparagrafo"/>
    <w:rsid w:val="00BF7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F73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F7377"/>
    <w:rPr>
      <w:i/>
      <w:iCs/>
    </w:rPr>
  </w:style>
  <w:style w:type="character" w:styleId="Enfasigrassetto">
    <w:name w:val="Strong"/>
    <w:basedOn w:val="Carpredefinitoparagrafo"/>
    <w:uiPriority w:val="22"/>
    <w:qFormat/>
    <w:rsid w:val="00BF7377"/>
    <w:rPr>
      <w:b/>
      <w:bCs/>
    </w:rPr>
  </w:style>
  <w:style w:type="character" w:customStyle="1" w:styleId="apple-converted-space">
    <w:name w:val="apple-converted-space"/>
    <w:basedOn w:val="Carpredefinitoparagrafo"/>
    <w:rsid w:val="00BF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0614">
      <w:bodyDiv w:val="1"/>
      <w:marLeft w:val="0"/>
      <w:marRight w:val="0"/>
      <w:marTop w:val="0"/>
      <w:marBottom w:val="0"/>
      <w:divBdr>
        <w:top w:val="none" w:sz="0" w:space="0" w:color="auto"/>
        <w:left w:val="none" w:sz="0" w:space="0" w:color="auto"/>
        <w:bottom w:val="none" w:sz="0" w:space="0" w:color="auto"/>
        <w:right w:val="none" w:sz="0" w:space="0" w:color="auto"/>
      </w:divBdr>
    </w:div>
    <w:div w:id="14820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575</Words>
  <Characters>3281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5</cp:revision>
  <dcterms:created xsi:type="dcterms:W3CDTF">2015-11-12T15:22:00Z</dcterms:created>
  <dcterms:modified xsi:type="dcterms:W3CDTF">2015-11-13T14:33:00Z</dcterms:modified>
</cp:coreProperties>
</file>